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bookmarkStart w:id="0" w:name="_GoBack"/>
      <w:r w:rsidRPr="00BE7D52">
        <w:rPr>
          <w:rFonts w:ascii="Tahoma" w:hAnsi="Tahoma" w:cs="Elham"/>
          <w:sz w:val="23"/>
          <w:szCs w:val="23"/>
        </w:rPr>
        <w:t>1.  </w:t>
      </w:r>
      <w:hyperlink r:id="rId4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 Registry Data Coordinator (RDC): a Proper Accessible Strategy for Improving Road Traffic Injury (RTI) Hospital Based Trauma Registry Systems in Developing Countries and Low Income Countries.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2.   </w:t>
      </w:r>
      <w:hyperlink r:id="rId5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Fuzzy decision support systems to diagnose musculoskeletal </w:t>
        </w:r>
        <w:proofErr w:type="spell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disorders</w:t>
        </w:r>
        <w:proofErr w:type="gram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:A</w:t>
        </w:r>
        <w:proofErr w:type="spellEnd"/>
        <w:proofErr w:type="gram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 systematic literature review.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3.   </w:t>
      </w:r>
      <w:hyperlink r:id="rId6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Usability Evaluation of Three Admission and Medical Records Subsystems Integrated into Nationwide Hospital Information Systems: Heuristic Evaluation.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4.   </w:t>
      </w:r>
      <w:hyperlink r:id="rId7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Proposing Electronic Health Record Usability Requirements Based on Enriched ISO 9241 Metric Usability Model.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5.   </w:t>
      </w:r>
      <w:hyperlink r:id="rId8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Task-specific usability requirements of electronic medical records systems: Lessons learned from a national survey of end-users.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6.   </w:t>
      </w:r>
      <w:hyperlink r:id="rId9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Semantic Web: A Context for Medical Knowledge Discovering and Sharing, Iranian Journal Of Medical Informatics.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7.   </w:t>
      </w:r>
      <w:hyperlink r:id="rId10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Phone-Based Interventions to Control Obesity in Children </w:t>
        </w:r>
        <w:proofErr w:type="gram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Under</w:t>
        </w:r>
        <w:proofErr w:type="gram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 </w:t>
        </w:r>
        <w:proofErr w:type="spell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SixYears</w:t>
        </w:r>
        <w:proofErr w:type="spell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 of Age: A Systematic Review on Features and Effects.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8.   </w:t>
      </w:r>
      <w:hyperlink r:id="rId11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Knowledge Acquisition for Diagnosis of Skin Diseases as an Initial Platform for an Expert System.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9.   </w:t>
      </w:r>
      <w:hyperlink r:id="rId12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Errors and causes of communication failures from hospital information systems to electronic health record: a record-review study.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10.  </w:t>
      </w:r>
      <w:hyperlink r:id="rId13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Using Data Mining for Survival Prediction in Patients with Colon Cancer.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11.  </w:t>
      </w:r>
      <w:hyperlink r:id="rId14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The use and willingness of asthma patients toward mobile phone functionalities in support of self-management.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12.  </w:t>
      </w:r>
      <w:hyperlink r:id="rId15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Phone-based interventions to control gestational weight gain: a systematic review on features and effects.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13.  </w:t>
      </w:r>
      <w:hyperlink r:id="rId16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Designing and evaluating functional </w:t>
        </w:r>
        <w:proofErr w:type="gram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laboratory information system requirements</w:t>
        </w:r>
        <w:proofErr w:type="gram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 integrated to hospital information systems.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14.  </w:t>
      </w:r>
      <w:hyperlink r:id="rId17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Presenting a Model to Evaluate Factors Affecting Outsourcing of Health Information Technology Services.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15.  </w:t>
      </w:r>
      <w:hyperlink r:id="rId18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Comparative Study of Data Elements and Data Analysis Methods in Myocardial Infarction Registry in Selected Countries and Iran.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16. </w:t>
      </w:r>
      <w:hyperlink r:id="rId19" w:history="1">
        <w:proofErr w:type="gram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Towards</w:t>
        </w:r>
        <w:proofErr w:type="gram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 a Comprehensive Quality Evaluation Model for Hospital Websites.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17.  </w:t>
      </w:r>
      <w:hyperlink r:id="rId20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The lifestyle of people in relation to the prevention of cancer in Yazd in 2014.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18.  </w:t>
      </w:r>
      <w:hyperlink r:id="rId21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 xml:space="preserve">A review of </w:t>
        </w:r>
        <w:proofErr w:type="spellStart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neuroblastoma</w:t>
        </w:r>
        <w:proofErr w:type="spellEnd"/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: prevalence, diagnosis, related genetic factors, and treatment.</w:t>
        </w:r>
      </w:hyperlink>
    </w:p>
    <w:p w:rsidR="00733B36" w:rsidRPr="00BE7D52" w:rsidRDefault="00733B36" w:rsidP="00733B36">
      <w:pPr>
        <w:pStyle w:val="NormalWeb"/>
        <w:shd w:val="clear" w:color="auto" w:fill="FFFFFF"/>
        <w:ind w:left="720"/>
        <w:jc w:val="both"/>
        <w:rPr>
          <w:rFonts w:ascii="Tahoma" w:hAnsi="Tahoma" w:cs="Elham"/>
          <w:sz w:val="23"/>
          <w:szCs w:val="23"/>
        </w:rPr>
      </w:pPr>
      <w:r w:rsidRPr="00BE7D52">
        <w:rPr>
          <w:rFonts w:ascii="Tahoma" w:hAnsi="Tahoma" w:cs="Elham"/>
          <w:sz w:val="23"/>
          <w:szCs w:val="23"/>
        </w:rPr>
        <w:t>19.  </w:t>
      </w:r>
      <w:hyperlink r:id="rId22" w:history="1">
        <w:r w:rsidRPr="00BE7D52">
          <w:rPr>
            <w:rStyle w:val="Hyperlink"/>
            <w:rFonts w:ascii="Tahoma" w:hAnsi="Tahoma" w:cs="Elham"/>
            <w:b/>
            <w:bCs/>
            <w:color w:val="auto"/>
            <w:sz w:val="18"/>
            <w:szCs w:val="18"/>
          </w:rPr>
          <w:t>Quality of patient information in emergency department</w:t>
        </w:r>
      </w:hyperlink>
    </w:p>
    <w:bookmarkEnd w:id="0"/>
    <w:p w:rsidR="00D1777E" w:rsidRPr="00BE7D52" w:rsidRDefault="00D1777E" w:rsidP="00733B36">
      <w:pPr>
        <w:bidi w:val="0"/>
        <w:rPr>
          <w:rFonts w:cs="Elham"/>
        </w:rPr>
      </w:pPr>
    </w:p>
    <w:sectPr w:rsidR="00D1777E" w:rsidRPr="00BE7D52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5E"/>
    <w:rsid w:val="00733B36"/>
    <w:rsid w:val="00BE7D52"/>
    <w:rsid w:val="00D1777E"/>
    <w:rsid w:val="00E14F5E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D557E92-E000-4C28-B6FB-AB84CC17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B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kaums.ac.ir/UploadedFiles/Task.pdf" TargetMode="External"/><Relationship Id="rId13" Type="http://schemas.openxmlformats.org/officeDocument/2006/relationships/hyperlink" Target="http://irje.tums.ac.ir/article-1-5961-en.pdf" TargetMode="External"/><Relationship Id="rId18" Type="http://schemas.openxmlformats.org/officeDocument/2006/relationships/hyperlink" Target="http://him.kaums.ac.ir/UploadedFiles/151-616-2-PB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m.kaums.ac.ir/UploadedFiles/SSU-v8n4p237-en.pdf" TargetMode="External"/><Relationship Id="rId7" Type="http://schemas.openxmlformats.org/officeDocument/2006/relationships/hyperlink" Target="https://www.ncbi.nlm.nih.gov/pmc/articles/PMC5869283/pdf/AIM-26-29.pdf" TargetMode="External"/><Relationship Id="rId12" Type="http://schemas.openxmlformats.org/officeDocument/2006/relationships/hyperlink" Target="http://him.kaums.ac.ir/UploadedFiles/errors.pdf" TargetMode="External"/><Relationship Id="rId17" Type="http://schemas.openxmlformats.org/officeDocument/2006/relationships/hyperlink" Target="http://him.kaums.ac.ir/UploadedFiles/6-153665926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m.kaums.ac.ir/UploadedFiles/farzandipour2018.pdf" TargetMode="External"/><Relationship Id="rId20" Type="http://schemas.openxmlformats.org/officeDocument/2006/relationships/hyperlink" Target="http://tbj.ssu.ac.ir/article-1-1307-e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6029901/pdf/AIM-26-133.pdf" TargetMode="External"/><Relationship Id="rId11" Type="http://schemas.openxmlformats.org/officeDocument/2006/relationships/hyperlink" Target="http://him.kaums.ac.ir/UploadedFiles/acq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him.kaums.ac.ir/UploadedFiles/fuzy.pdf" TargetMode="External"/><Relationship Id="rId15" Type="http://schemas.openxmlformats.org/officeDocument/2006/relationships/hyperlink" Target="http://him.kaums.ac.ir/UploadedFiles/GWG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im.kaums.ac.ir/UploadedFiles/phone.pdf" TargetMode="External"/><Relationship Id="rId19" Type="http://schemas.openxmlformats.org/officeDocument/2006/relationships/hyperlink" Target="http://him.kaums.ac.ir/UploadedFiles/TOWARDS.pdf" TargetMode="External"/><Relationship Id="rId4" Type="http://schemas.openxmlformats.org/officeDocument/2006/relationships/hyperlink" Target="https://www.ncbi.nlm.nih.gov/pmc/articles/PMC5869281/pdf/AIM-26-35.pdf" TargetMode="External"/><Relationship Id="rId9" Type="http://schemas.openxmlformats.org/officeDocument/2006/relationships/hyperlink" Target="http://him.kaums.ac.ir/UploadedFiles/web.pdf" TargetMode="External"/><Relationship Id="rId14" Type="http://schemas.openxmlformats.org/officeDocument/2006/relationships/hyperlink" Target="http://him.kaums.ac.ir/UploadedFiles/Abstract_EAACI.pdf" TargetMode="External"/><Relationship Id="rId22" Type="http://schemas.openxmlformats.org/officeDocument/2006/relationships/hyperlink" Target="http://him.kaums.ac.ir/UploadedFiles/ost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2022-10-08T08:15:00Z</dcterms:created>
  <dcterms:modified xsi:type="dcterms:W3CDTF">2023-12-11T06:23:00Z</dcterms:modified>
</cp:coreProperties>
</file>